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Style w:val="8"/>
          <w:rFonts w:ascii="方正小标宋简体" w:hAnsi="方正小标宋简体" w:eastAsia="方正小标宋简体" w:cs="方正小标宋简体"/>
          <w:sz w:val="44"/>
          <w:szCs w:val="44"/>
          <w:shd w:val="clear" w:color="auto" w:fill="FFFFFF"/>
        </w:rPr>
      </w:pPr>
      <w:r>
        <w:rPr>
          <w:rStyle w:val="8"/>
          <w:rFonts w:hint="eastAsia" w:ascii="方正小标宋简体" w:hAnsi="方正小标宋简体" w:eastAsia="方正小标宋简体" w:cs="方正小标宋简体"/>
          <w:sz w:val="44"/>
          <w:szCs w:val="44"/>
          <w:shd w:val="clear" w:color="auto" w:fill="FFFFFF"/>
        </w:rPr>
        <w:t>陕西省林业科技特派员管理办法（试行）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仿宋_GB2312" w:hAnsi="仿宋_GB2312" w:eastAsia="仿宋_GB2312" w:cs="仿宋_GB2312"/>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b w:val="0"/>
          <w:bCs w:val="0"/>
          <w:color w:val="333333"/>
          <w:sz w:val="32"/>
          <w:szCs w:val="32"/>
        </w:rPr>
      </w:pPr>
      <w:r>
        <w:rPr>
          <w:rFonts w:hint="eastAsia" w:ascii="黑体" w:hAnsi="黑体" w:eastAsia="黑体" w:cs="黑体"/>
          <w:b w:val="0"/>
          <w:bCs w:val="0"/>
          <w:color w:val="333333"/>
          <w:sz w:val="32"/>
          <w:szCs w:val="32"/>
        </w:rPr>
        <w:t>第一章　总 则</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黑体" w:hAnsi="黑体" w:eastAsia="黑体" w:cs="黑体"/>
          <w:color w:val="333333"/>
          <w:sz w:val="32"/>
          <w:szCs w:val="32"/>
        </w:rPr>
        <w:t>第一条</w:t>
      </w:r>
      <w:r>
        <w:rPr>
          <w:rFonts w:hint="eastAsia" w:ascii="仿宋_GB2312" w:hAnsi="仿宋_GB2312" w:eastAsia="仿宋_GB2312" w:cs="仿宋_GB2312"/>
          <w:color w:val="333333"/>
          <w:sz w:val="32"/>
          <w:szCs w:val="32"/>
        </w:rPr>
        <w:t xml:space="preserve">  为深入贯彻落实习近平总书记关于科技特派员工作的重要指示精神，大力实施科技兴林战略，助推乡村振兴发展，根据《陕西省深入推行科技特派员制度实施方案》（陕科发〔2020〕7号）和《陕西省科技特派员管理办法》（陕科发〔2018〕4号），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333333"/>
          <w:kern w:val="0"/>
          <w:sz w:val="32"/>
          <w:szCs w:val="32"/>
          <w:lang w:val="en-US" w:eastAsia="zh-CN" w:bidi="ar-SA"/>
        </w:rPr>
      </w:pPr>
      <w:r>
        <w:rPr>
          <w:rFonts w:hint="eastAsia" w:ascii="黑体" w:hAnsi="黑体" w:eastAsia="黑体" w:cs="黑体"/>
          <w:color w:val="333333"/>
        </w:rPr>
        <w:t xml:space="preserve">第二条  </w:t>
      </w:r>
      <w:r>
        <w:rPr>
          <w:rFonts w:hint="eastAsia" w:ascii="仿宋_GB2312" w:hAnsi="仿宋_GB2312" w:eastAsia="仿宋_GB2312" w:cs="仿宋_GB2312"/>
          <w:color w:val="333333"/>
          <w:kern w:val="0"/>
          <w:sz w:val="32"/>
          <w:szCs w:val="32"/>
          <w:lang w:val="en-US" w:eastAsia="zh-CN" w:bidi="ar-SA"/>
        </w:rPr>
        <w:t>陕西省林业科技特派员是指由林业草原主管部门按一定条件和程序从林业科研院所、企事业单位、涉林院校选派，深入基层一线开展技术服务、科普宣传和创新创业的科技人员，分为省、市、县三级。</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jc w:val="distribute"/>
        <w:textAlignment w:val="auto"/>
        <w:rPr>
          <w:rFonts w:hint="eastAsia" w:ascii="仿宋_GB2312" w:hAnsi="仿宋_GB2312" w:eastAsia="仿宋_GB2312" w:cs="仿宋_GB2312"/>
          <w:color w:val="333333"/>
          <w:kern w:val="0"/>
          <w:sz w:val="32"/>
          <w:szCs w:val="32"/>
          <w:lang w:val="en-US" w:eastAsia="zh-CN" w:bidi="ar-SA"/>
        </w:rPr>
      </w:pPr>
      <w:r>
        <w:rPr>
          <w:rFonts w:hint="eastAsia" w:ascii="黑体" w:hAnsi="黑体" w:eastAsia="黑体" w:cs="黑体"/>
          <w:color w:val="333333"/>
          <w:kern w:val="2"/>
          <w:sz w:val="32"/>
          <w:szCs w:val="32"/>
        </w:rPr>
        <w:t xml:space="preserve">第三条  </w:t>
      </w:r>
      <w:r>
        <w:rPr>
          <w:rFonts w:hint="eastAsia" w:ascii="仿宋_GB2312" w:hAnsi="仿宋_GB2312" w:eastAsia="仿宋_GB2312" w:cs="仿宋_GB2312"/>
          <w:color w:val="333333"/>
          <w:sz w:val="32"/>
          <w:szCs w:val="32"/>
          <w:lang w:val="en-US" w:eastAsia="zh-CN"/>
        </w:rPr>
        <w:t>陕西省</w:t>
      </w:r>
      <w:r>
        <w:rPr>
          <w:rFonts w:hint="eastAsia" w:ascii="仿宋_GB2312" w:hAnsi="仿宋_GB2312" w:eastAsia="仿宋_GB2312" w:cs="仿宋_GB2312"/>
          <w:color w:val="333333"/>
          <w:sz w:val="32"/>
          <w:szCs w:val="32"/>
        </w:rPr>
        <w:t>林业科技特派员的创新创业及技术服务类型主要有三种：</w:t>
      </w:r>
      <w:r>
        <w:rPr>
          <w:rFonts w:hint="eastAsia" w:ascii="仿宋_GB2312" w:hAnsi="仿宋_GB2312" w:eastAsia="仿宋_GB2312" w:cs="仿宋_GB2312"/>
          <w:b/>
          <w:bCs/>
          <w:color w:val="333333"/>
          <w:sz w:val="32"/>
          <w:szCs w:val="32"/>
        </w:rPr>
        <w:t>一是技术型。</w:t>
      </w:r>
      <w:r>
        <w:rPr>
          <w:rFonts w:hint="eastAsia" w:ascii="仿宋_GB2312" w:hAnsi="仿宋_GB2312" w:eastAsia="仿宋_GB2312" w:cs="仿宋_GB2312"/>
          <w:color w:val="333333"/>
          <w:sz w:val="32"/>
          <w:szCs w:val="32"/>
        </w:rPr>
        <w:t>针对</w:t>
      </w:r>
      <w:r>
        <w:rPr>
          <w:rFonts w:hint="eastAsia" w:ascii="仿宋_GB2312" w:hAnsi="仿宋_GB2312" w:eastAsia="仿宋_GB2312" w:cs="仿宋_GB2312"/>
          <w:color w:val="333333"/>
          <w:kern w:val="2"/>
          <w:sz w:val="32"/>
          <w:szCs w:val="32"/>
        </w:rPr>
        <w:t>林业</w:t>
      </w:r>
      <w:r>
        <w:rPr>
          <w:rFonts w:hint="eastAsia" w:ascii="仿宋_GB2312" w:hAnsi="仿宋_GB2312" w:eastAsia="仿宋_GB2312" w:cs="仿宋_GB2312"/>
          <w:color w:val="333333"/>
          <w:sz w:val="32"/>
          <w:szCs w:val="32"/>
        </w:rPr>
        <w:t>产业发展需求，攻克关键技术，研发新产品、转</w:t>
      </w:r>
      <w:r>
        <w:rPr>
          <w:rFonts w:hint="eastAsia" w:ascii="仿宋_GB2312" w:hAnsi="仿宋_GB2312" w:eastAsia="仿宋_GB2312" w:cs="仿宋_GB2312"/>
          <w:color w:val="333333"/>
          <w:kern w:val="2"/>
          <w:sz w:val="32"/>
          <w:szCs w:val="32"/>
        </w:rPr>
        <w:t>化科技成果，开展适用技术推广等活动；</w:t>
      </w:r>
      <w:r>
        <w:rPr>
          <w:rFonts w:hint="eastAsia" w:ascii="仿宋_GB2312" w:hAnsi="仿宋_GB2312" w:eastAsia="仿宋_GB2312" w:cs="仿宋_GB2312"/>
          <w:b/>
          <w:bCs/>
          <w:color w:val="333333"/>
          <w:kern w:val="2"/>
          <w:sz w:val="32"/>
          <w:szCs w:val="32"/>
        </w:rPr>
        <w:t>二是培训型。</w:t>
      </w:r>
      <w:r>
        <w:rPr>
          <w:rFonts w:hint="eastAsia" w:ascii="仿宋_GB2312" w:hAnsi="仿宋_GB2312" w:eastAsia="仿宋_GB2312" w:cs="仿宋_GB2312"/>
          <w:color w:val="333333"/>
          <w:kern w:val="2"/>
          <w:sz w:val="32"/>
          <w:szCs w:val="32"/>
        </w:rPr>
        <w:t>结合地域特色林业产业，开展技术人才培训、科普宣传等活动；</w:t>
      </w:r>
      <w:r>
        <w:rPr>
          <w:rFonts w:hint="eastAsia" w:ascii="仿宋_GB2312" w:hAnsi="仿宋_GB2312" w:eastAsia="仿宋_GB2312" w:cs="仿宋_GB2312"/>
          <w:b/>
          <w:bCs/>
          <w:color w:val="333333"/>
          <w:kern w:val="2"/>
          <w:sz w:val="32"/>
          <w:szCs w:val="32"/>
        </w:rPr>
        <w:t>三是创业型。</w:t>
      </w:r>
      <w:r>
        <w:rPr>
          <w:rFonts w:hint="eastAsia" w:ascii="仿宋_GB2312" w:hAnsi="仿宋_GB2312" w:eastAsia="仿宋_GB2312" w:cs="仿宋_GB2312"/>
          <w:color w:val="333333"/>
          <w:kern w:val="0"/>
          <w:sz w:val="32"/>
          <w:szCs w:val="32"/>
          <w:lang w:val="en-US" w:eastAsia="zh-CN" w:bidi="ar-SA"/>
        </w:rPr>
        <w:t>领办、创办、协办林业专业合作社、企业等，开展创新创业活动。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黑体" w:hAnsi="黑体" w:eastAsia="黑体" w:cs="黑体"/>
          <w:color w:val="333333"/>
        </w:rPr>
        <w:t xml:space="preserve">第四条  </w:t>
      </w:r>
      <w:r>
        <w:rPr>
          <w:rFonts w:hint="eastAsia" w:ascii="仿宋_GB2312" w:hAnsi="仿宋_GB2312" w:cs="仿宋_GB2312"/>
          <w:b/>
          <w:bCs/>
          <w:color w:val="333333"/>
          <w:kern w:val="0"/>
        </w:rPr>
        <w:t>基本原则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cs="仿宋_GB2312"/>
          <w:color w:val="333333"/>
          <w:kern w:val="0"/>
        </w:rPr>
      </w:pPr>
      <w:r>
        <w:rPr>
          <w:rFonts w:hint="eastAsia" w:ascii="仿宋_GB2312" w:hAnsi="仿宋_GB2312" w:cs="仿宋_GB2312"/>
          <w:b/>
          <w:bCs/>
          <w:color w:val="333333"/>
          <w:kern w:val="0"/>
        </w:rPr>
        <w:t>（一）坚持双向选择原则。</w:t>
      </w:r>
      <w:r>
        <w:rPr>
          <w:rFonts w:hint="eastAsia" w:ascii="仿宋_GB2312" w:hAnsi="仿宋_GB2312" w:cs="仿宋_GB2312"/>
          <w:color w:val="333333"/>
          <w:kern w:val="0"/>
        </w:rPr>
        <w:t>根据基层科技需求，坚持双向选择、按需选派、精准对接，做到专业对口、供需对接，提高科技服务效果。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cs="仿宋_GB2312"/>
          <w:color w:val="333333"/>
          <w:kern w:val="0"/>
        </w:rPr>
      </w:pPr>
      <w:r>
        <w:rPr>
          <w:rFonts w:hint="eastAsia" w:ascii="仿宋_GB2312" w:hAnsi="仿宋_GB2312" w:cs="仿宋_GB2312"/>
          <w:b/>
          <w:bCs/>
          <w:color w:val="333333"/>
          <w:kern w:val="0"/>
        </w:rPr>
        <w:t>（二）坚持项目带动原则。</w:t>
      </w:r>
      <w:r>
        <w:rPr>
          <w:rFonts w:hint="eastAsia" w:ascii="仿宋_GB2312" w:hAnsi="仿宋_GB2312" w:cs="仿宋_GB2312"/>
          <w:color w:val="333333"/>
          <w:kern w:val="0"/>
        </w:rPr>
        <w:t>以实施科技推广项目为载体开展精准技术服务，加速科技成果就地转化，促进林业特色优势产业发展。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cs="仿宋_GB2312"/>
          <w:color w:val="333333"/>
          <w:kern w:val="0"/>
        </w:rPr>
      </w:pPr>
      <w:r>
        <w:rPr>
          <w:rFonts w:hint="eastAsia" w:ascii="仿宋_GB2312" w:hAnsi="仿宋_GB2312" w:cs="仿宋_GB2312"/>
          <w:b/>
          <w:bCs/>
          <w:color w:val="333333"/>
          <w:kern w:val="0"/>
        </w:rPr>
        <w:t>（三）坚持分级管理原则。</w:t>
      </w:r>
      <w:r>
        <w:rPr>
          <w:rFonts w:hint="eastAsia" w:ascii="仿宋_GB2312" w:hAnsi="仿宋_GB2312" w:cs="仿宋_GB2312"/>
          <w:color w:val="333333"/>
          <w:kern w:val="0"/>
        </w:rPr>
        <w:t>省、市（区）、县林业</w:t>
      </w:r>
      <w:r>
        <w:rPr>
          <w:rFonts w:hint="eastAsia" w:ascii="仿宋_GB2312" w:hAnsi="仿宋_GB2312" w:cs="仿宋_GB2312"/>
          <w:color w:val="333333"/>
          <w:kern w:val="0"/>
          <w:lang w:val="en-US" w:eastAsia="zh-CN"/>
        </w:rPr>
        <w:t>草原</w:t>
      </w:r>
      <w:r>
        <w:rPr>
          <w:rFonts w:hint="eastAsia" w:ascii="仿宋_GB2312" w:hAnsi="仿宋_GB2312" w:cs="仿宋_GB2312"/>
          <w:color w:val="333333"/>
          <w:kern w:val="0"/>
        </w:rPr>
        <w:t>主管部门按管理权限选派、管理本级林业科技特派员。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cs="仿宋_GB2312"/>
          <w:color w:val="333333"/>
          <w:kern w:val="0"/>
        </w:rPr>
      </w:pPr>
      <w:r>
        <w:rPr>
          <w:rFonts w:hint="eastAsia" w:ascii="仿宋_GB2312" w:hAnsi="仿宋_GB2312" w:cs="仿宋_GB2312"/>
          <w:b/>
          <w:bCs/>
          <w:color w:val="333333"/>
          <w:kern w:val="0"/>
        </w:rPr>
        <w:t>（四）坚持增收增效原则。</w:t>
      </w:r>
      <w:r>
        <w:rPr>
          <w:rFonts w:hint="eastAsia" w:ascii="仿宋_GB2312" w:hAnsi="仿宋_GB2312" w:cs="仿宋_GB2312"/>
          <w:color w:val="333333"/>
          <w:kern w:val="0"/>
        </w:rPr>
        <w:t>聚焦林业全产业链的技术难题，深入基层一线开展科技服务，助推林业提质增效、林农增收致富，确保服务实效。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333333"/>
          <w:kern w:val="0"/>
        </w:rPr>
      </w:pPr>
      <w:r>
        <w:rPr>
          <w:rFonts w:hint="eastAsia" w:ascii="黑体" w:hAnsi="黑体" w:eastAsia="黑体" w:cs="黑体"/>
          <w:color w:val="333333"/>
        </w:rPr>
        <w:t xml:space="preserve">第五条  </w:t>
      </w:r>
      <w:r>
        <w:rPr>
          <w:rFonts w:hint="eastAsia" w:ascii="仿宋_GB2312" w:hAnsi="仿宋_GB2312" w:cs="仿宋_GB2312"/>
          <w:color w:val="333333"/>
          <w:kern w:val="0"/>
        </w:rPr>
        <w:t>省级林业科技特派员由省林业局认定</w:t>
      </w:r>
      <w:r>
        <w:rPr>
          <w:rFonts w:hint="eastAsia" w:ascii="仿宋_GB2312" w:hAnsi="仿宋_GB2312" w:cs="仿宋_GB2312"/>
          <w:color w:val="333333"/>
          <w:kern w:val="0"/>
          <w:lang w:eastAsia="zh-CN"/>
        </w:rPr>
        <w:t>、</w:t>
      </w:r>
      <w:r>
        <w:rPr>
          <w:rFonts w:hint="eastAsia" w:ascii="仿宋_GB2312" w:hAnsi="仿宋_GB2312" w:cs="仿宋_GB2312"/>
          <w:color w:val="333333"/>
          <w:kern w:val="0"/>
        </w:rPr>
        <w:t>选派</w:t>
      </w:r>
      <w:r>
        <w:rPr>
          <w:rFonts w:hint="eastAsia" w:ascii="仿宋_GB2312" w:hAnsi="仿宋_GB2312" w:cs="仿宋_GB2312"/>
          <w:color w:val="333333"/>
          <w:kern w:val="0"/>
          <w:lang w:eastAsia="zh-CN"/>
        </w:rPr>
        <w:t>、</w:t>
      </w:r>
      <w:r>
        <w:rPr>
          <w:rFonts w:hint="eastAsia" w:ascii="仿宋_GB2312" w:hAnsi="仿宋_GB2312" w:cs="仿宋_GB2312"/>
          <w:color w:val="333333"/>
          <w:kern w:val="0"/>
          <w:lang w:val="en-US" w:eastAsia="zh-CN"/>
        </w:rPr>
        <w:t>管理</w:t>
      </w:r>
      <w:r>
        <w:rPr>
          <w:rFonts w:hint="eastAsia" w:ascii="仿宋_GB2312" w:hAnsi="仿宋_GB2312" w:cs="仿宋_GB2312"/>
          <w:color w:val="333333"/>
          <w:kern w:val="0"/>
        </w:rPr>
        <w:t>。市、县林业科技特派员由各市（区）、县林业</w:t>
      </w:r>
      <w:r>
        <w:rPr>
          <w:rFonts w:hint="eastAsia" w:ascii="仿宋_GB2312" w:hAnsi="仿宋_GB2312" w:cs="仿宋_GB2312"/>
          <w:color w:val="333333"/>
          <w:kern w:val="0"/>
          <w:lang w:val="en-US" w:eastAsia="zh-CN"/>
        </w:rPr>
        <w:t>草原</w:t>
      </w:r>
      <w:r>
        <w:rPr>
          <w:rFonts w:hint="eastAsia" w:ascii="仿宋_GB2312" w:hAnsi="仿宋_GB2312" w:cs="仿宋_GB2312"/>
          <w:color w:val="333333"/>
          <w:kern w:val="0"/>
        </w:rPr>
        <w:t>主管部门</w:t>
      </w:r>
      <w:r>
        <w:rPr>
          <w:rFonts w:hint="eastAsia" w:ascii="仿宋_GB2312" w:hAnsi="仿宋_GB2312" w:cs="仿宋_GB2312"/>
          <w:color w:val="333333"/>
          <w:kern w:val="0"/>
          <w:lang w:val="en-US" w:eastAsia="zh-CN"/>
        </w:rPr>
        <w:t>参照省级林业科技特派员自愿</w:t>
      </w:r>
      <w:r>
        <w:rPr>
          <w:rFonts w:hint="eastAsia" w:ascii="仿宋_GB2312" w:hAnsi="仿宋_GB2312" w:cs="仿宋_GB2312"/>
          <w:color w:val="333333"/>
          <w:kern w:val="0"/>
        </w:rPr>
        <w:t>组织开展。</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jc w:val="center"/>
        <w:textAlignment w:val="auto"/>
        <w:rPr>
          <w:rFonts w:ascii="黑体" w:hAnsi="黑体" w:eastAsia="黑体" w:cs="黑体"/>
          <w:b w:val="0"/>
          <w:bCs w:val="0"/>
          <w:color w:val="333333"/>
          <w:sz w:val="32"/>
          <w:szCs w:val="32"/>
        </w:rPr>
      </w:pPr>
      <w:r>
        <w:rPr>
          <w:rFonts w:hint="eastAsia" w:ascii="黑体" w:hAnsi="黑体" w:eastAsia="黑体" w:cs="黑体"/>
          <w:b w:val="0"/>
          <w:bCs w:val="0"/>
          <w:color w:val="333333"/>
          <w:sz w:val="32"/>
          <w:szCs w:val="32"/>
        </w:rPr>
        <w:t>第二章  选派条件和程序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黑体" w:hAnsi="黑体" w:eastAsia="黑体" w:cs="黑体"/>
          <w:color w:val="333333"/>
        </w:rPr>
        <w:t>第</w:t>
      </w:r>
      <w:r>
        <w:rPr>
          <w:rFonts w:hint="eastAsia" w:ascii="黑体" w:hAnsi="黑体" w:eastAsia="黑体" w:cs="黑体"/>
          <w:color w:val="333333"/>
          <w:lang w:val="en-US" w:eastAsia="zh-CN"/>
        </w:rPr>
        <w:t>六</w:t>
      </w:r>
      <w:r>
        <w:rPr>
          <w:rFonts w:hint="eastAsia" w:ascii="黑体" w:hAnsi="黑体" w:eastAsia="黑体" w:cs="黑体"/>
          <w:color w:val="333333"/>
        </w:rPr>
        <w:t>条</w:t>
      </w:r>
      <w:r>
        <w:rPr>
          <w:rFonts w:hint="eastAsia" w:ascii="仿宋_GB2312" w:hAnsi="仿宋_GB2312" w:cs="仿宋_GB2312"/>
          <w:color w:val="333333"/>
          <w:kern w:val="0"/>
        </w:rPr>
        <w:t xml:space="preserve">  省级</w:t>
      </w:r>
      <w:r>
        <w:rPr>
          <w:rFonts w:hint="eastAsia" w:ascii="仿宋_GB2312" w:hAnsi="仿宋_GB2312" w:cs="仿宋_GB2312"/>
          <w:color w:val="333333"/>
        </w:rPr>
        <w:t>林业科技特派员</w:t>
      </w:r>
      <w:r>
        <w:rPr>
          <w:rFonts w:hint="eastAsia" w:ascii="仿宋_GB2312" w:hAnsi="仿宋_GB2312" w:cs="仿宋_GB2312"/>
          <w:color w:val="333333"/>
          <w:kern w:val="0"/>
        </w:rPr>
        <w:t>应符合以下条件：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仿宋_GB2312" w:hAnsi="仿宋_GB2312" w:cs="仿宋_GB2312"/>
          <w:color w:val="333333"/>
          <w:kern w:val="0"/>
        </w:rPr>
        <w:t>（一）遵守国家法律法规，贯彻执行党的路线方针政策，热爱林业科技事业，社会责任感强，群众认可度高，具有较强的担当精神和创业劲头，自愿到生产一线开展科技服务。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仿宋_GB2312" w:hAnsi="仿宋_GB2312" w:cs="仿宋_GB2312"/>
          <w:color w:val="333333"/>
          <w:kern w:val="0"/>
        </w:rPr>
        <w:t>（二）长期从事林业科学研究、技术推广、林业教学等工作，具有较强的科学研究、技术推广和综合协调能力，实践经验丰富，能致力于服务科技兴林事业。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仿宋_GB2312" w:hAnsi="仿宋_GB2312" w:cs="仿宋_GB2312"/>
          <w:color w:val="333333"/>
          <w:kern w:val="0"/>
        </w:rPr>
        <w:t>（三）专业技术能力强，至少掌握一门以上林业实用技术。原则上要求副高级或中级5年以上的在岗专业技术人员。经国家林业和草原局认定的“林草乡土专家”、“最美林草科技推广员”等不受职称限定。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仿宋_GB2312" w:hAnsi="仿宋_GB2312" w:cs="仿宋_GB2312"/>
          <w:color w:val="333333"/>
          <w:kern w:val="0"/>
        </w:rPr>
        <w:t>（四）身体健康，积极履行林业科技特派员职责，能合理安排一定时间，深入林业生产一线开展多种形式的科技服务和创业活动。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黑体" w:hAnsi="黑体" w:eastAsia="黑体" w:cs="黑体"/>
          <w:color w:val="333333"/>
        </w:rPr>
        <w:t>第</w:t>
      </w:r>
      <w:r>
        <w:rPr>
          <w:rFonts w:hint="eastAsia" w:ascii="黑体" w:hAnsi="黑体" w:eastAsia="黑体" w:cs="黑体"/>
          <w:color w:val="333333"/>
          <w:lang w:val="en-US" w:eastAsia="zh-CN"/>
        </w:rPr>
        <w:t>七</w:t>
      </w:r>
      <w:r>
        <w:rPr>
          <w:rFonts w:hint="eastAsia" w:ascii="黑体" w:hAnsi="黑体" w:eastAsia="黑体" w:cs="黑体"/>
          <w:color w:val="333333"/>
        </w:rPr>
        <w:t xml:space="preserve">条  </w:t>
      </w:r>
      <w:r>
        <w:rPr>
          <w:rFonts w:hint="eastAsia" w:ascii="仿宋_GB2312" w:hAnsi="仿宋_GB2312" w:cs="仿宋_GB2312"/>
          <w:color w:val="333333"/>
          <w:kern w:val="0"/>
        </w:rPr>
        <w:t>省级林业科技特派员认定选派程序为推荐申报、审核认定、对接服务三个环节。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黑体" w:hAnsi="黑体" w:eastAsia="黑体" w:cs="黑体"/>
          <w:color w:val="333333"/>
        </w:rPr>
        <w:t>第</w:t>
      </w:r>
      <w:r>
        <w:rPr>
          <w:rFonts w:hint="eastAsia" w:ascii="黑体" w:hAnsi="黑体" w:eastAsia="黑体" w:cs="黑体"/>
          <w:color w:val="333333"/>
          <w:lang w:val="en-US" w:eastAsia="zh-CN"/>
        </w:rPr>
        <w:t>八</w:t>
      </w:r>
      <w:r>
        <w:rPr>
          <w:rFonts w:hint="eastAsia" w:ascii="黑体" w:hAnsi="黑体" w:eastAsia="黑体" w:cs="黑体"/>
          <w:color w:val="333333"/>
        </w:rPr>
        <w:t xml:space="preserve">条  </w:t>
      </w:r>
      <w:r>
        <w:rPr>
          <w:rFonts w:hint="eastAsia" w:ascii="仿宋_GB2312" w:hAnsi="仿宋_GB2312" w:cs="仿宋_GB2312"/>
          <w:b/>
          <w:bCs/>
          <w:color w:val="333333"/>
          <w:kern w:val="0"/>
        </w:rPr>
        <w:t>推荐申报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仿宋_GB2312" w:hAnsi="仿宋_GB2312" w:cs="仿宋_GB2312"/>
          <w:color w:val="333333"/>
          <w:kern w:val="0"/>
        </w:rPr>
        <w:t>符合条件的省级林业科技特派员申报者需填写《陕西省林业科技特派员申报表》，经市级林业主管部门审核、公示后，以正式文件报送省林业局。局直属单位和涉林高校、科研院所可直接向省林业局法规科技处推荐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333333"/>
        </w:rPr>
      </w:pPr>
      <w:r>
        <w:rPr>
          <w:rFonts w:hint="eastAsia" w:ascii="黑体" w:hAnsi="黑体" w:eastAsia="黑体" w:cs="黑体"/>
          <w:color w:val="333333"/>
        </w:rPr>
        <w:t>第</w:t>
      </w:r>
      <w:r>
        <w:rPr>
          <w:rFonts w:hint="eastAsia" w:ascii="黑体" w:hAnsi="黑体" w:eastAsia="黑体" w:cs="黑体"/>
          <w:color w:val="333333"/>
          <w:lang w:val="en-US" w:eastAsia="zh-CN"/>
        </w:rPr>
        <w:t>九</w:t>
      </w:r>
      <w:r>
        <w:rPr>
          <w:rFonts w:hint="eastAsia" w:ascii="黑体" w:hAnsi="黑体" w:eastAsia="黑体" w:cs="黑体"/>
          <w:color w:val="333333"/>
        </w:rPr>
        <w:t xml:space="preserve">条  </w:t>
      </w:r>
      <w:r>
        <w:rPr>
          <w:rFonts w:hint="eastAsia" w:ascii="仿宋_GB2312" w:hAnsi="仿宋_GB2312" w:cs="仿宋_GB2312"/>
          <w:b/>
          <w:bCs/>
          <w:color w:val="333333"/>
        </w:rPr>
        <w:t>审核认定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仿宋_GB2312" w:hAnsi="仿宋_GB2312" w:cs="仿宋_GB2312"/>
          <w:color w:val="333333"/>
          <w:kern w:val="0"/>
        </w:rPr>
        <w:t>省林业局对省级林业科技特派员申报资料按程序审核公示后，发正式文件认定，并颁发证书。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b/>
          <w:bCs/>
          <w:color w:val="333333"/>
        </w:rPr>
      </w:pPr>
      <w:r>
        <w:rPr>
          <w:rFonts w:hint="eastAsia" w:ascii="黑体" w:hAnsi="黑体" w:eastAsia="黑体" w:cs="黑体"/>
          <w:color w:val="333333"/>
        </w:rPr>
        <w:t xml:space="preserve">第十条  </w:t>
      </w:r>
      <w:r>
        <w:rPr>
          <w:rFonts w:hint="eastAsia" w:ascii="仿宋_GB2312" w:hAnsi="仿宋_GB2312" w:cs="仿宋_GB2312"/>
          <w:b/>
          <w:bCs/>
          <w:color w:val="333333"/>
        </w:rPr>
        <w:t>对接服务</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省级林业科技特派员可采取团队形式或个人形式开展服务。坚持“自愿互利、双向选择”原则，鼓励省级林业科技特派员自行对接服务对象。省林业局也可根据基层科技需求和主导产业，统一协调选派，进行双向配对、项目对接。</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hint="eastAsia" w:ascii="黑体" w:hAnsi="黑体" w:eastAsia="黑体" w:cs="黑体"/>
          <w:color w:val="333333"/>
        </w:rPr>
      </w:pPr>
      <w:r>
        <w:rPr>
          <w:rFonts w:hint="eastAsia" w:ascii="黑体" w:hAnsi="黑体" w:eastAsia="黑体" w:cs="黑体"/>
          <w:color w:val="333333"/>
          <w:kern w:val="2"/>
          <w:sz w:val="32"/>
          <w:szCs w:val="32"/>
          <w:lang w:val="en-US" w:eastAsia="zh-CN" w:bidi="ar-SA"/>
        </w:rPr>
        <w:t xml:space="preserve">第十一条  </w:t>
      </w:r>
      <w:r>
        <w:rPr>
          <w:rFonts w:hint="eastAsia" w:ascii="仿宋_GB2312" w:hAnsi="仿宋_GB2312" w:eastAsia="仿宋_GB2312" w:cs="仿宋_GB2312"/>
          <w:color w:val="333333"/>
          <w:kern w:val="0"/>
          <w:sz w:val="32"/>
          <w:szCs w:val="32"/>
          <w:lang w:val="en-US" w:eastAsia="zh-CN" w:bidi="ar-SA"/>
        </w:rPr>
        <w:t>省级林业科技</w:t>
      </w:r>
      <w:r>
        <w:rPr>
          <w:rFonts w:hint="eastAsia" w:ascii="仿宋_GB2312" w:hAnsi="仿宋_GB2312" w:eastAsia="仿宋_GB2312" w:cs="仿宋_GB2312"/>
          <w:color w:val="333333"/>
          <w:sz w:val="32"/>
          <w:szCs w:val="32"/>
        </w:rPr>
        <w:t>特派员确定服务对象后，双方应签订《陕西省林业科技特派员服务工作协议》，明确工作目标及任务等，并向省林业局报备。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lang w:val="en-US" w:eastAsia="zh-CN" w:bidi="ar-SA"/>
        </w:rPr>
      </w:pPr>
      <w:r>
        <w:rPr>
          <w:rFonts w:hint="eastAsia" w:ascii="黑体" w:hAnsi="黑体" w:eastAsia="黑体" w:cs="黑体"/>
          <w:color w:val="333333"/>
          <w:lang w:val="en-US" w:eastAsia="zh-CN"/>
        </w:rPr>
        <w:t>第十二条</w:t>
      </w:r>
      <w:r>
        <w:rPr>
          <w:rFonts w:hint="eastAsia" w:ascii="黑体" w:hAnsi="黑体" w:eastAsia="黑体" w:cs="黑体"/>
          <w:color w:val="333333"/>
        </w:rPr>
        <w:t xml:space="preserve">  </w:t>
      </w:r>
      <w:r>
        <w:rPr>
          <w:rFonts w:hint="eastAsia" w:ascii="仿宋_GB2312" w:hAnsi="仿宋_GB2312" w:eastAsia="仿宋_GB2312" w:cs="仿宋_GB2312"/>
          <w:color w:val="333333"/>
          <w:kern w:val="0"/>
          <w:sz w:val="32"/>
          <w:szCs w:val="32"/>
          <w:lang w:val="en-US" w:eastAsia="zh-CN" w:bidi="ar-SA"/>
        </w:rPr>
        <w:t>省级林业科技特派员认定期限原则上3年，实行动态管理</w:t>
      </w:r>
      <w:r>
        <w:rPr>
          <w:rFonts w:hint="eastAsia" w:ascii="仿宋_GB2312" w:hAnsi="仿宋_GB2312" w:cs="仿宋_GB2312"/>
          <w:color w:val="333333"/>
          <w:kern w:val="0"/>
          <w:sz w:val="32"/>
          <w:szCs w:val="32"/>
          <w:lang w:val="en-US" w:eastAsia="zh-CN" w:bidi="ar-SA"/>
        </w:rPr>
        <w:t>，</w:t>
      </w:r>
      <w:r>
        <w:rPr>
          <w:rFonts w:hint="eastAsia" w:ascii="仿宋_GB2312" w:hAnsi="仿宋_GB2312" w:eastAsia="仿宋_GB2312" w:cs="仿宋_GB2312"/>
          <w:color w:val="333333"/>
          <w:kern w:val="0"/>
          <w:sz w:val="32"/>
          <w:szCs w:val="32"/>
          <w:lang w:val="en-US" w:eastAsia="zh-CN" w:bidi="ar-SA"/>
        </w:rPr>
        <w:t>到期</w:t>
      </w:r>
      <w:r>
        <w:rPr>
          <w:rFonts w:hint="eastAsia" w:ascii="仿宋_GB2312" w:hAnsi="仿宋_GB2312" w:cs="仿宋_GB2312"/>
          <w:color w:val="333333"/>
          <w:kern w:val="0"/>
          <w:sz w:val="32"/>
          <w:szCs w:val="32"/>
          <w:lang w:val="en-US" w:eastAsia="zh-CN" w:bidi="ar-SA"/>
        </w:rPr>
        <w:t>后省林业局根据考核结果重新认定</w:t>
      </w:r>
      <w:r>
        <w:rPr>
          <w:rFonts w:hint="eastAsia" w:ascii="仿宋_GB2312" w:hAnsi="仿宋_GB2312" w:eastAsia="仿宋_GB2312" w:cs="仿宋_GB2312"/>
          <w:color w:val="333333"/>
          <w:kern w:val="0"/>
          <w:sz w:val="32"/>
          <w:szCs w:val="32"/>
          <w:lang w:val="en-US" w:eastAsia="zh-CN" w:bidi="ar-SA"/>
        </w:rPr>
        <w:t>。</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jc w:val="center"/>
        <w:textAlignment w:val="auto"/>
        <w:rPr>
          <w:rFonts w:ascii="黑体" w:hAnsi="黑体" w:eastAsia="黑体" w:cs="黑体"/>
          <w:b w:val="0"/>
          <w:bCs w:val="0"/>
          <w:color w:val="333333"/>
          <w:sz w:val="32"/>
          <w:szCs w:val="32"/>
        </w:rPr>
      </w:pPr>
      <w:r>
        <w:rPr>
          <w:rFonts w:hint="eastAsia" w:ascii="黑体" w:hAnsi="黑体" w:eastAsia="黑体" w:cs="黑体"/>
          <w:b w:val="0"/>
          <w:bCs w:val="0"/>
          <w:color w:val="333333"/>
          <w:sz w:val="32"/>
          <w:szCs w:val="32"/>
        </w:rPr>
        <w:t>第三章　主要职责</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b/>
          <w:bCs/>
          <w:color w:val="333333"/>
          <w:sz w:val="32"/>
          <w:szCs w:val="32"/>
        </w:rPr>
      </w:pPr>
      <w:r>
        <w:rPr>
          <w:rFonts w:hint="eastAsia" w:ascii="黑体" w:hAnsi="黑体" w:eastAsia="黑体" w:cs="黑体"/>
          <w:color w:val="333333"/>
          <w:kern w:val="2"/>
          <w:sz w:val="32"/>
          <w:szCs w:val="32"/>
        </w:rPr>
        <w:t>第十</w:t>
      </w:r>
      <w:r>
        <w:rPr>
          <w:rFonts w:hint="eastAsia" w:ascii="黑体" w:hAnsi="黑体" w:eastAsia="黑体" w:cs="黑体"/>
          <w:color w:val="333333"/>
          <w:kern w:val="2"/>
          <w:sz w:val="32"/>
          <w:szCs w:val="32"/>
          <w:lang w:val="en-US" w:eastAsia="zh-CN"/>
        </w:rPr>
        <w:t>三</w:t>
      </w:r>
      <w:r>
        <w:rPr>
          <w:rFonts w:hint="eastAsia" w:ascii="黑体" w:hAnsi="黑体" w:eastAsia="黑体" w:cs="黑体"/>
          <w:color w:val="333333"/>
          <w:kern w:val="2"/>
          <w:sz w:val="32"/>
          <w:szCs w:val="32"/>
        </w:rPr>
        <w:t xml:space="preserve">条  </w:t>
      </w:r>
      <w:r>
        <w:rPr>
          <w:rFonts w:hint="eastAsia" w:ascii="仿宋_GB2312" w:hAnsi="仿宋_GB2312" w:eastAsia="仿宋_GB2312" w:cs="仿宋_GB2312"/>
          <w:b/>
          <w:bCs/>
          <w:color w:val="333333"/>
          <w:sz w:val="32"/>
          <w:szCs w:val="32"/>
        </w:rPr>
        <w:t>省级林业科技特派员职责</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开展林业技术研究。根据服务对象技术需求，有针对性的开展技术研究，着力解决林业生产中“卡脖子”问题和林农急难愁盼问题，深入基层一线研发新技术、新品种、新产品、新装备等，实现科技成果有效转化。</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（二）开展技术示范推广。根据市场需求和林农需要，引进和推广林业新品种、新技术、新模式、新产品，建立科技推广示范基地，以点带面，辐射带动，提高基层林业产业发展水平。</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开展科普宣传和人才培训。充分发挥自身特长和资源优势，通过采取集中授课、视频互动、现场交流等方式，对企业、合作社、林农等服务群体进行林业科学技术普及宣传和实用技术培训，培养当地技术骨干和乡土专家。</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开展创新创业活动。鼓励林业科技特派员通过技术入股、资金入股、技术承包或租赁经营等多种形式，创办、领办、协办企业、合作社等，与当地企业和林农建立利益共同体，按照双方签订的协议依法获取劳务报酬。</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hint="eastAsia" w:ascii="仿宋_GB2312" w:hAnsi="仿宋_GB2312" w:eastAsia="仿宋_GB2312" w:cs="仿宋_GB2312"/>
          <w:b/>
          <w:bCs/>
          <w:color w:val="333333"/>
          <w:sz w:val="32"/>
          <w:szCs w:val="32"/>
        </w:rPr>
      </w:pPr>
      <w:r>
        <w:rPr>
          <w:rFonts w:hint="eastAsia" w:ascii="黑体" w:hAnsi="黑体" w:eastAsia="黑体" w:cs="黑体"/>
          <w:color w:val="333333"/>
          <w:kern w:val="2"/>
          <w:sz w:val="32"/>
          <w:szCs w:val="32"/>
        </w:rPr>
        <w:t>第十</w:t>
      </w:r>
      <w:r>
        <w:rPr>
          <w:rFonts w:hint="eastAsia" w:ascii="黑体" w:hAnsi="黑体" w:eastAsia="黑体" w:cs="黑体"/>
          <w:color w:val="333333"/>
          <w:kern w:val="2"/>
          <w:sz w:val="32"/>
          <w:szCs w:val="32"/>
          <w:lang w:val="en-US" w:eastAsia="zh-CN"/>
        </w:rPr>
        <w:t>四</w:t>
      </w:r>
      <w:r>
        <w:rPr>
          <w:rFonts w:hint="eastAsia" w:ascii="黑体" w:hAnsi="黑体" w:eastAsia="黑体" w:cs="黑体"/>
          <w:color w:val="333333"/>
          <w:kern w:val="2"/>
          <w:sz w:val="32"/>
          <w:szCs w:val="32"/>
        </w:rPr>
        <w:t xml:space="preserve">条 </w:t>
      </w:r>
      <w:r>
        <w:rPr>
          <w:rFonts w:hint="eastAsia" w:ascii="仿宋_GB2312" w:hAnsi="仿宋_GB2312" w:eastAsia="仿宋_GB2312" w:cs="仿宋_GB2312"/>
          <w:b/>
          <w:bCs/>
          <w:color w:val="333333"/>
          <w:sz w:val="32"/>
          <w:szCs w:val="32"/>
        </w:rPr>
        <w:t xml:space="preserve"> 林业</w:t>
      </w:r>
      <w:r>
        <w:rPr>
          <w:rFonts w:hint="eastAsia" w:ascii="仿宋_GB2312" w:hAnsi="仿宋_GB2312" w:eastAsia="仿宋_GB2312" w:cs="仿宋_GB2312"/>
          <w:b/>
          <w:bCs/>
          <w:color w:val="333333"/>
          <w:sz w:val="32"/>
          <w:szCs w:val="32"/>
          <w:lang w:val="en-US" w:eastAsia="zh-CN"/>
        </w:rPr>
        <w:t>主管</w:t>
      </w:r>
      <w:r>
        <w:rPr>
          <w:rFonts w:hint="eastAsia" w:ascii="仿宋_GB2312" w:hAnsi="仿宋_GB2312" w:eastAsia="仿宋_GB2312" w:cs="仿宋_GB2312"/>
          <w:b/>
          <w:bCs/>
          <w:color w:val="333333"/>
          <w:sz w:val="32"/>
          <w:szCs w:val="32"/>
        </w:rPr>
        <w:t>部门职责</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（一）省林业局负责省级科技特派员的认定、管理、培训与考核工作，组织开展重大科技服务活动，对优秀组织单位和先进个人进行表彰。</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（二）市县林业部门协助省林业局做好省级林业科技特派员管理和评价考核等工作。</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jc w:val="center"/>
        <w:textAlignment w:val="auto"/>
        <w:rPr>
          <w:rFonts w:ascii="黑体" w:hAnsi="黑体" w:eastAsia="黑体" w:cs="黑体"/>
          <w:b w:val="0"/>
          <w:bCs w:val="0"/>
          <w:color w:val="333333"/>
          <w:sz w:val="32"/>
          <w:szCs w:val="32"/>
        </w:rPr>
      </w:pPr>
      <w:r>
        <w:rPr>
          <w:rFonts w:hint="eastAsia" w:ascii="黑体" w:hAnsi="黑体" w:eastAsia="黑体" w:cs="黑体"/>
          <w:b w:val="0"/>
          <w:bCs w:val="0"/>
          <w:color w:val="333333"/>
          <w:sz w:val="32"/>
          <w:szCs w:val="32"/>
        </w:rPr>
        <w:t>第四章 评价考核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333333"/>
          <w:kern w:val="0"/>
        </w:rPr>
      </w:pPr>
      <w:r>
        <w:rPr>
          <w:rFonts w:hint="eastAsia" w:ascii="黑体" w:hAnsi="黑体" w:eastAsia="黑体" w:cs="黑体"/>
          <w:color w:val="333333"/>
        </w:rPr>
        <w:t>第十</w:t>
      </w:r>
      <w:r>
        <w:rPr>
          <w:rFonts w:hint="eastAsia" w:ascii="黑体" w:hAnsi="黑体" w:eastAsia="黑体" w:cs="黑体"/>
          <w:color w:val="333333"/>
          <w:lang w:val="en-US" w:eastAsia="zh-CN"/>
        </w:rPr>
        <w:t>五</w:t>
      </w:r>
      <w:r>
        <w:rPr>
          <w:rFonts w:hint="eastAsia" w:ascii="黑体" w:hAnsi="黑体" w:eastAsia="黑体" w:cs="黑体"/>
          <w:color w:val="333333"/>
        </w:rPr>
        <w:t>条　</w:t>
      </w:r>
      <w:r>
        <w:rPr>
          <w:rFonts w:hint="eastAsia" w:ascii="仿宋_GB2312" w:hAnsi="仿宋_GB2312" w:cs="仿宋_GB2312"/>
          <w:color w:val="333333"/>
          <w:kern w:val="0"/>
        </w:rPr>
        <w:t>省级</w:t>
      </w:r>
      <w:r>
        <w:rPr>
          <w:rFonts w:hint="eastAsia" w:ascii="仿宋_GB2312" w:hAnsi="仿宋_GB2312" w:cs="仿宋_GB2312"/>
          <w:color w:val="333333"/>
        </w:rPr>
        <w:t>林业科技特派员</w:t>
      </w:r>
      <w:r>
        <w:rPr>
          <w:rFonts w:hint="eastAsia" w:ascii="仿宋_GB2312" w:hAnsi="仿宋_GB2312" w:cs="仿宋_GB2312"/>
          <w:color w:val="333333"/>
          <w:kern w:val="0"/>
        </w:rPr>
        <w:t>实行年度评价考核制度。考核评价内容包括履职情况、协议任务完成情况、服务绩效和服务对象满意度等方面，重点突出工作实绩和成效。</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2"/>
          <w:sz w:val="32"/>
          <w:szCs w:val="32"/>
        </w:rPr>
        <w:t>第十</w:t>
      </w:r>
      <w:r>
        <w:rPr>
          <w:rFonts w:hint="eastAsia" w:ascii="黑体" w:hAnsi="黑体" w:eastAsia="黑体" w:cs="黑体"/>
          <w:color w:val="333333"/>
          <w:kern w:val="2"/>
          <w:sz w:val="32"/>
          <w:szCs w:val="32"/>
          <w:lang w:val="en-US" w:eastAsia="zh-CN"/>
        </w:rPr>
        <w:t>六</w:t>
      </w:r>
      <w:r>
        <w:rPr>
          <w:rFonts w:hint="eastAsia" w:ascii="黑体" w:hAnsi="黑体" w:eastAsia="黑体" w:cs="黑体"/>
          <w:color w:val="333333"/>
          <w:kern w:val="2"/>
          <w:sz w:val="32"/>
          <w:szCs w:val="32"/>
        </w:rPr>
        <w:t>条　</w:t>
      </w:r>
      <w:r>
        <w:rPr>
          <w:rFonts w:hint="eastAsia" w:ascii="仿宋_GB2312" w:hAnsi="仿宋_GB2312" w:eastAsia="仿宋_GB2312" w:cs="仿宋_GB2312"/>
          <w:color w:val="333333"/>
          <w:sz w:val="32"/>
          <w:szCs w:val="32"/>
        </w:rPr>
        <w:t>评价考核结果分为“优秀、良好、称职、不称职”四个等次，其中“优秀”等次不超过总人数的20%。考核结果优秀的统一颁发荣誉证书，在申报科技推广项目时给予优先支持；考核结果不称职的取消林业科技特派员资格，并两年内禁止申报林业科技推广项目。</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jc w:val="center"/>
        <w:textAlignment w:val="auto"/>
        <w:rPr>
          <w:rFonts w:hint="default" w:ascii="黑体" w:hAnsi="黑体" w:eastAsia="黑体" w:cs="黑体"/>
          <w:b w:val="0"/>
          <w:bCs w:val="0"/>
          <w:color w:val="333333"/>
          <w:sz w:val="32"/>
          <w:szCs w:val="32"/>
          <w:lang w:val="en-US"/>
        </w:rPr>
      </w:pPr>
      <w:r>
        <w:rPr>
          <w:rFonts w:hint="eastAsia" w:ascii="黑体" w:hAnsi="黑体" w:eastAsia="黑体" w:cs="黑体"/>
          <w:b w:val="0"/>
          <w:bCs w:val="0"/>
          <w:color w:val="333333"/>
          <w:sz w:val="32"/>
          <w:szCs w:val="32"/>
        </w:rPr>
        <w:t>第五章　</w:t>
      </w:r>
      <w:r>
        <w:rPr>
          <w:rFonts w:hint="eastAsia" w:ascii="黑体" w:hAnsi="黑体" w:eastAsia="黑体" w:cs="黑体"/>
          <w:b w:val="0"/>
          <w:bCs w:val="0"/>
          <w:color w:val="333333"/>
          <w:sz w:val="32"/>
          <w:szCs w:val="32"/>
          <w:lang w:val="en-US" w:eastAsia="zh-CN"/>
        </w:rPr>
        <w:t>保障与激励</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2"/>
          <w:sz w:val="32"/>
          <w:szCs w:val="32"/>
        </w:rPr>
        <w:t>第十</w:t>
      </w:r>
      <w:r>
        <w:rPr>
          <w:rFonts w:hint="eastAsia" w:ascii="黑体" w:hAnsi="黑体" w:eastAsia="黑体" w:cs="黑体"/>
          <w:color w:val="333333"/>
          <w:kern w:val="2"/>
          <w:sz w:val="32"/>
          <w:szCs w:val="32"/>
          <w:lang w:val="en-US" w:eastAsia="zh-CN"/>
        </w:rPr>
        <w:t>七</w:t>
      </w:r>
      <w:r>
        <w:rPr>
          <w:rFonts w:hint="eastAsia" w:ascii="黑体" w:hAnsi="黑体" w:eastAsia="黑体" w:cs="黑体"/>
          <w:color w:val="333333"/>
          <w:kern w:val="2"/>
          <w:sz w:val="32"/>
          <w:szCs w:val="32"/>
        </w:rPr>
        <w:t xml:space="preserve">条  </w:t>
      </w:r>
      <w:r>
        <w:rPr>
          <w:rFonts w:hint="eastAsia" w:ascii="仿宋_GB2312" w:hAnsi="仿宋_GB2312" w:eastAsia="仿宋_GB2312" w:cs="仿宋_GB2312"/>
          <w:color w:val="333333"/>
          <w:sz w:val="32"/>
          <w:szCs w:val="32"/>
        </w:rPr>
        <w:t>各级林业部门要密切沟通协作，增强合力，及时协调解决省级林业科技特派员工作中遇到的困难和问题，为林业科技特派员开展基层科技服务提供保障条件。</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黑体" w:hAnsi="黑体" w:eastAsia="黑体" w:cs="黑体"/>
          <w:color w:val="333333"/>
          <w:kern w:val="2"/>
          <w:sz w:val="32"/>
          <w:szCs w:val="32"/>
        </w:rPr>
        <w:t>第十</w:t>
      </w:r>
      <w:r>
        <w:rPr>
          <w:rFonts w:hint="eastAsia" w:ascii="黑体" w:hAnsi="黑体" w:eastAsia="黑体" w:cs="黑体"/>
          <w:color w:val="333333"/>
          <w:kern w:val="2"/>
          <w:sz w:val="32"/>
          <w:szCs w:val="32"/>
          <w:lang w:val="en-US" w:eastAsia="zh-CN"/>
        </w:rPr>
        <w:t>八</w:t>
      </w:r>
      <w:r>
        <w:rPr>
          <w:rFonts w:hint="eastAsia" w:ascii="黑体" w:hAnsi="黑体" w:eastAsia="黑体" w:cs="黑体"/>
          <w:color w:val="333333"/>
          <w:kern w:val="2"/>
          <w:sz w:val="32"/>
          <w:szCs w:val="32"/>
        </w:rPr>
        <w:t xml:space="preserve">条  </w:t>
      </w:r>
      <w:r>
        <w:rPr>
          <w:rFonts w:hint="eastAsia" w:ascii="仿宋_GB2312" w:hAnsi="仿宋_GB2312" w:eastAsia="仿宋_GB2312" w:cs="仿宋_GB2312"/>
          <w:color w:val="333333"/>
          <w:sz w:val="32"/>
          <w:szCs w:val="32"/>
        </w:rPr>
        <w:t>省级林业科技特派员在基层服务期间所取得的科技成果和工作业绩，作为职称评定、岗位等级晋升等方面的依据，同等条件下优先晋升职称。</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黑体" w:hAnsi="黑体" w:eastAsia="黑体" w:cs="黑体"/>
          <w:color w:val="333333"/>
          <w:kern w:val="2"/>
          <w:sz w:val="32"/>
          <w:szCs w:val="32"/>
        </w:rPr>
        <w:t>第十</w:t>
      </w:r>
      <w:r>
        <w:rPr>
          <w:rFonts w:hint="eastAsia" w:ascii="黑体" w:hAnsi="黑体" w:eastAsia="黑体" w:cs="黑体"/>
          <w:color w:val="333333"/>
          <w:kern w:val="2"/>
          <w:sz w:val="32"/>
          <w:szCs w:val="32"/>
          <w:lang w:val="en-US" w:eastAsia="zh-CN"/>
        </w:rPr>
        <w:t>九</w:t>
      </w:r>
      <w:r>
        <w:rPr>
          <w:rFonts w:hint="eastAsia" w:ascii="黑体" w:hAnsi="黑体" w:eastAsia="黑体" w:cs="黑体"/>
          <w:color w:val="333333"/>
          <w:kern w:val="2"/>
          <w:sz w:val="32"/>
          <w:szCs w:val="32"/>
        </w:rPr>
        <w:t xml:space="preserve">条  </w:t>
      </w:r>
      <w:r>
        <w:rPr>
          <w:rFonts w:hint="eastAsia" w:ascii="仿宋_GB2312" w:hAnsi="仿宋_GB2312" w:eastAsia="仿宋_GB2312" w:cs="仿宋_GB2312"/>
          <w:color w:val="333333"/>
          <w:sz w:val="32"/>
          <w:szCs w:val="32"/>
        </w:rPr>
        <w:t>对工作中表现突出、做出突出成绩和贡献的优秀林业科技特派员及派出单位，按照有关规定予以表彰奖励。</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黑体" w:hAnsi="黑体" w:eastAsia="黑体" w:cs="黑体"/>
          <w:color w:val="333333"/>
          <w:kern w:val="2"/>
          <w:sz w:val="32"/>
          <w:szCs w:val="32"/>
        </w:rPr>
        <w:t>第二十条</w:t>
      </w:r>
      <w:r>
        <w:rPr>
          <w:rFonts w:hint="eastAsia" w:ascii="黑体" w:hAnsi="黑体" w:eastAsia="黑体" w:cs="黑体"/>
          <w:color w:val="333333"/>
          <w:kern w:val="2"/>
          <w:sz w:val="32"/>
          <w:szCs w:val="32"/>
          <w:lang w:val="en-US" w:eastAsia="zh-CN"/>
        </w:rPr>
        <w:t xml:space="preserve">  </w:t>
      </w:r>
      <w:r>
        <w:rPr>
          <w:rFonts w:hint="eastAsia" w:ascii="仿宋_GB2312" w:hAnsi="仿宋_GB2312" w:eastAsia="仿宋_GB2312" w:cs="仿宋_GB2312"/>
          <w:color w:val="333333"/>
          <w:sz w:val="32"/>
          <w:szCs w:val="32"/>
          <w:lang w:val="en-US" w:eastAsia="zh-CN"/>
        </w:rPr>
        <w:t>各地要大力宣传科技特派员</w:t>
      </w:r>
      <w:r>
        <w:rPr>
          <w:rFonts w:hint="eastAsia" w:ascii="仿宋_GB2312" w:hAnsi="仿宋_GB2312" w:eastAsia="仿宋_GB2312" w:cs="仿宋_GB2312"/>
          <w:color w:val="333333"/>
          <w:sz w:val="32"/>
          <w:szCs w:val="32"/>
        </w:rPr>
        <w:t>的创新创业先进事迹</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激励更多的技术人员踊跃参与</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引导更多的科技特派员扎根基层创新创业。</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jc w:val="center"/>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第六章　附　则</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2"/>
          <w:sz w:val="32"/>
          <w:szCs w:val="32"/>
        </w:rPr>
        <w:t>第二十</w:t>
      </w:r>
      <w:r>
        <w:rPr>
          <w:rFonts w:hint="eastAsia" w:ascii="黑体" w:hAnsi="黑体" w:eastAsia="黑体" w:cs="黑体"/>
          <w:color w:val="333333"/>
          <w:kern w:val="2"/>
          <w:sz w:val="32"/>
          <w:szCs w:val="32"/>
          <w:lang w:val="en-US" w:eastAsia="zh-CN"/>
        </w:rPr>
        <w:t>一</w:t>
      </w:r>
      <w:r>
        <w:rPr>
          <w:rFonts w:hint="eastAsia" w:ascii="黑体" w:hAnsi="黑体" w:eastAsia="黑体" w:cs="黑体"/>
          <w:color w:val="333333"/>
          <w:kern w:val="2"/>
          <w:sz w:val="32"/>
          <w:szCs w:val="32"/>
        </w:rPr>
        <w:t xml:space="preserve">条  </w:t>
      </w:r>
      <w:r>
        <w:rPr>
          <w:rFonts w:hint="eastAsia" w:ascii="仿宋_GB2312" w:hAnsi="仿宋_GB2312" w:eastAsia="仿宋_GB2312" w:cs="仿宋_GB2312"/>
          <w:color w:val="333333"/>
          <w:sz w:val="32"/>
          <w:szCs w:val="32"/>
        </w:rPr>
        <w:t>本办法由陕西省林业局负责解释。</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2"/>
          <w:sz w:val="32"/>
          <w:szCs w:val="32"/>
        </w:rPr>
        <w:t>第二十</w:t>
      </w:r>
      <w:r>
        <w:rPr>
          <w:rFonts w:hint="eastAsia" w:ascii="黑体" w:hAnsi="黑体" w:eastAsia="黑体" w:cs="黑体"/>
          <w:color w:val="333333"/>
          <w:kern w:val="2"/>
          <w:sz w:val="32"/>
          <w:szCs w:val="32"/>
          <w:lang w:val="en-US" w:eastAsia="zh-CN"/>
        </w:rPr>
        <w:t>二</w:t>
      </w:r>
      <w:r>
        <w:rPr>
          <w:rFonts w:hint="eastAsia" w:ascii="黑体" w:hAnsi="黑体" w:eastAsia="黑体" w:cs="黑体"/>
          <w:color w:val="333333"/>
          <w:kern w:val="2"/>
          <w:sz w:val="32"/>
          <w:szCs w:val="32"/>
        </w:rPr>
        <w:t xml:space="preserve">条  </w:t>
      </w:r>
      <w:r>
        <w:rPr>
          <w:rFonts w:hint="eastAsia" w:ascii="仿宋_GB2312" w:hAnsi="仿宋_GB2312" w:eastAsia="仿宋_GB2312" w:cs="仿宋_GB2312"/>
          <w:color w:val="333333"/>
          <w:sz w:val="32"/>
          <w:szCs w:val="32"/>
        </w:rPr>
        <w:t>本办法自印发之日起施行。</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ascii="仿宋_GB2312" w:hAnsi="仿宋_GB2312" w:eastAsia="仿宋_GB2312" w:cs="仿宋_GB2312"/>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textAlignment w:val="auto"/>
        <w:rPr>
          <w:rFonts w:ascii="仿宋_GB2312" w:hAnsi="仿宋_GB2312" w:eastAsia="仿宋_GB2312" w:cs="仿宋_GB2312"/>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eastAsia="仿宋_GB2312" w:hAnsiTheme="minorHAnsi" w:cstheme="minorBidi"/>
          <w:kern w:val="2"/>
          <w:sz w:val="32"/>
          <w:szCs w:val="32"/>
        </w:rPr>
        <w:t>附表：</w:t>
      </w:r>
      <w:r>
        <w:rPr>
          <w:rFonts w:hint="eastAsia" w:ascii="仿宋_GB2312" w:hAnsi="仿宋_GB2312" w:eastAsia="仿宋_GB2312" w:cs="仿宋_GB2312"/>
          <w:color w:val="333333"/>
          <w:sz w:val="32"/>
          <w:szCs w:val="32"/>
        </w:rPr>
        <w:t>陕西省林业科技特派员申报表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省级</w:t>
      </w:r>
      <w:r>
        <w:rPr>
          <w:rFonts w:hint="eastAsia" w:ascii="仿宋_GB2312" w:hAnsi="仿宋_GB2312" w:eastAsia="仿宋_GB2312" w:cs="仿宋_GB2312"/>
          <w:color w:val="333333"/>
          <w:sz w:val="32"/>
          <w:szCs w:val="32"/>
          <w:lang w:eastAsia="zh-CN"/>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color w:val="565656"/>
        </w:rPr>
      </w:pPr>
    </w:p>
    <w:p>
      <w:pPr>
        <w:widowControl/>
        <w:jc w:val="left"/>
        <w:rPr>
          <w:rFonts w:ascii="宋体" w:hAnsi="宋体" w:eastAsia="宋体" w:cs="宋体"/>
          <w:color w:val="565656"/>
          <w:kern w:val="0"/>
          <w:sz w:val="24"/>
          <w:szCs w:val="24"/>
        </w:rPr>
      </w:pPr>
      <w:r>
        <w:rPr>
          <w:color w:val="565656"/>
        </w:rPr>
        <w:br w:type="page"/>
      </w:r>
    </w:p>
    <w:p>
      <w:pPr>
        <w:pStyle w:val="4"/>
        <w:shd w:val="clear" w:color="auto" w:fill="FFFFFF"/>
        <w:spacing w:before="0" w:beforeAutospacing="0" w:after="0" w:afterAutospacing="0"/>
        <w:rPr>
          <w:rFonts w:ascii="仿宋_GB2312" w:hAnsi="仿宋_GB2312" w:eastAsia="仿宋_GB2312" w:cs="仿宋_GB2312"/>
          <w:color w:val="333333"/>
          <w:sz w:val="32"/>
          <w:szCs w:val="32"/>
        </w:rPr>
      </w:pPr>
      <w:r>
        <w:rPr>
          <w:rFonts w:hint="eastAsia"/>
          <w:color w:val="565656"/>
        </w:rPr>
        <w:t>附表：</w:t>
      </w:r>
    </w:p>
    <w:p>
      <w:pPr>
        <w:pStyle w:val="4"/>
        <w:keepNext w:val="0"/>
        <w:keepLines w:val="0"/>
        <w:pageBreakBefore w:val="0"/>
        <w:shd w:val="clear" w:color="auto" w:fill="FFFFFF"/>
        <w:kinsoku/>
        <w:wordWrap/>
        <w:overflowPunct/>
        <w:topLinePunct w:val="0"/>
        <w:autoSpaceDE/>
        <w:autoSpaceDN/>
        <w:bidi w:val="0"/>
        <w:adjustRightInd/>
        <w:snapToGrid/>
        <w:spacing w:before="195" w:beforeAutospacing="0" w:after="0" w:afterAutospacing="0" w:line="560" w:lineRule="exact"/>
        <w:ind w:firstLine="723" w:firstLineChars="200"/>
        <w:textAlignment w:val="auto"/>
        <w:rPr>
          <w:rFonts w:hint="eastAsia" w:ascii="宋体" w:hAnsi="宋体" w:eastAsia="宋体" w:cs="宋体"/>
          <w:b/>
          <w:bCs/>
          <w:color w:val="000000"/>
          <w:sz w:val="36"/>
          <w:szCs w:val="36"/>
          <w:highlight w:val="white"/>
        </w:rPr>
      </w:pPr>
      <w:r>
        <w:rPr>
          <w:rFonts w:hint="eastAsia" w:ascii="宋体" w:hAnsi="宋体" w:eastAsia="宋体" w:cs="宋体"/>
          <w:b/>
          <w:bCs/>
          <w:color w:val="000000"/>
          <w:sz w:val="36"/>
          <w:szCs w:val="36"/>
          <w:highlight w:val="white"/>
        </w:rPr>
        <w:t>陕西省林业科技特派员申报表</w:t>
      </w:r>
      <w:r>
        <w:rPr>
          <w:rFonts w:hint="eastAsia" w:ascii="宋体" w:hAnsi="宋体" w:eastAsia="宋体" w:cs="宋体"/>
          <w:b/>
          <w:bCs/>
          <w:color w:val="000000"/>
          <w:sz w:val="36"/>
          <w:szCs w:val="36"/>
          <w:highlight w:val="white"/>
          <w:lang w:eastAsia="zh-CN"/>
        </w:rPr>
        <w:t>（</w:t>
      </w:r>
      <w:r>
        <w:rPr>
          <w:rFonts w:hint="eastAsia" w:ascii="宋体" w:hAnsi="宋体" w:eastAsia="宋体" w:cs="宋体"/>
          <w:b/>
          <w:bCs/>
          <w:color w:val="000000"/>
          <w:sz w:val="36"/>
          <w:szCs w:val="36"/>
          <w:highlight w:val="white"/>
          <w:lang w:val="en-US" w:eastAsia="zh-CN"/>
        </w:rPr>
        <w:t>省级</w:t>
      </w:r>
      <w:r>
        <w:rPr>
          <w:rFonts w:hint="eastAsia" w:ascii="宋体" w:hAnsi="宋体" w:eastAsia="宋体" w:cs="宋体"/>
          <w:b/>
          <w:bCs/>
          <w:color w:val="000000"/>
          <w:sz w:val="36"/>
          <w:szCs w:val="36"/>
          <w:highlight w:val="white"/>
          <w:lang w:eastAsia="zh-CN"/>
        </w:rPr>
        <w:t>）</w:t>
      </w:r>
    </w:p>
    <w:tbl>
      <w:tblPr>
        <w:tblStyle w:val="6"/>
        <w:tblpPr w:leftFromText="180" w:rightFromText="180" w:vertAnchor="text" w:horzAnchor="page" w:tblpXSpec="center" w:tblpY="346"/>
        <w:tblOverlap w:val="never"/>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621"/>
        <w:gridCol w:w="1425"/>
        <w:gridCol w:w="219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姓    名</w:t>
            </w:r>
          </w:p>
        </w:tc>
        <w:tc>
          <w:tcPr>
            <w:tcW w:w="1621" w:type="dxa"/>
            <w:vAlign w:val="center"/>
          </w:tcPr>
          <w:p>
            <w:pPr>
              <w:pStyle w:val="4"/>
              <w:shd w:val="clear" w:color="auto" w:fill="FFFFFF"/>
              <w:spacing w:before="0" w:beforeAutospacing="0" w:after="0" w:afterAutospacing="0"/>
              <w:jc w:val="center"/>
              <w:rPr>
                <w:rFonts w:ascii="仿宋_GB2312" w:eastAsia="仿宋_GB2312"/>
                <w:color w:val="565656"/>
              </w:rPr>
            </w:pPr>
          </w:p>
        </w:tc>
        <w:tc>
          <w:tcPr>
            <w:tcW w:w="1425"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性 别</w:t>
            </w:r>
          </w:p>
        </w:tc>
        <w:tc>
          <w:tcPr>
            <w:tcW w:w="2190" w:type="dxa"/>
          </w:tcPr>
          <w:p>
            <w:pPr>
              <w:pStyle w:val="4"/>
              <w:shd w:val="clear" w:color="auto" w:fill="FFFFFF"/>
              <w:spacing w:before="0" w:beforeAutospacing="0" w:after="0" w:afterAutospacing="0"/>
              <w:rPr>
                <w:rFonts w:ascii="仿宋_GB2312" w:eastAsia="仿宋_GB2312"/>
                <w:color w:val="565656"/>
              </w:rPr>
            </w:pPr>
          </w:p>
        </w:tc>
        <w:tc>
          <w:tcPr>
            <w:tcW w:w="2000" w:type="dxa"/>
            <w:vMerge w:val="restart"/>
            <w:vAlign w:val="center"/>
          </w:tcPr>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r>
              <w:rPr>
                <w:rFonts w:hint="eastAsia" w:ascii="仿宋_GB2312" w:eastAsia="仿宋_GB2312"/>
                <w:color w:val="565656"/>
              </w:rPr>
              <w:t>1寸免冠照片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民    族</w:t>
            </w:r>
          </w:p>
        </w:tc>
        <w:tc>
          <w:tcPr>
            <w:tcW w:w="1621" w:type="dxa"/>
            <w:vAlign w:val="center"/>
          </w:tcPr>
          <w:p>
            <w:pPr>
              <w:pStyle w:val="4"/>
              <w:shd w:val="clear" w:color="auto" w:fill="FFFFFF"/>
              <w:spacing w:before="0" w:beforeAutospacing="0" w:after="0" w:afterAutospacing="0"/>
              <w:jc w:val="center"/>
              <w:rPr>
                <w:rFonts w:ascii="仿宋_GB2312" w:eastAsia="仿宋_GB2312"/>
                <w:color w:val="565656"/>
              </w:rPr>
            </w:pPr>
          </w:p>
        </w:tc>
        <w:tc>
          <w:tcPr>
            <w:tcW w:w="1425"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出生年月</w:t>
            </w:r>
          </w:p>
        </w:tc>
        <w:tc>
          <w:tcPr>
            <w:tcW w:w="2190" w:type="dxa"/>
          </w:tcPr>
          <w:p>
            <w:pPr>
              <w:pStyle w:val="4"/>
              <w:shd w:val="clear" w:color="auto" w:fill="FFFFFF"/>
              <w:spacing w:before="0" w:beforeAutospacing="0" w:after="0" w:afterAutospacing="0"/>
              <w:rPr>
                <w:rFonts w:ascii="仿宋_GB2312" w:eastAsia="仿宋_GB2312"/>
                <w:color w:val="565656"/>
              </w:rPr>
            </w:pPr>
          </w:p>
        </w:tc>
        <w:tc>
          <w:tcPr>
            <w:tcW w:w="2000" w:type="dxa"/>
            <w:vMerge w:val="continue"/>
          </w:tcPr>
          <w:p>
            <w:pPr>
              <w:pStyle w:val="4"/>
              <w:shd w:val="clear" w:color="auto" w:fill="FFFFFF"/>
              <w:spacing w:before="0" w:beforeAutospacing="0" w:after="0" w:afterAutospacing="0"/>
              <w:rPr>
                <w:rFonts w:ascii="仿宋_GB2312" w:eastAsia="仿宋_GB2312"/>
                <w:color w:val="56565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文化程度</w:t>
            </w:r>
          </w:p>
        </w:tc>
        <w:tc>
          <w:tcPr>
            <w:tcW w:w="1621" w:type="dxa"/>
            <w:vAlign w:val="center"/>
          </w:tcPr>
          <w:p>
            <w:pPr>
              <w:pStyle w:val="4"/>
              <w:shd w:val="clear" w:color="auto" w:fill="FFFFFF"/>
              <w:spacing w:before="0" w:beforeAutospacing="0" w:after="0" w:afterAutospacing="0"/>
              <w:jc w:val="center"/>
              <w:rPr>
                <w:rFonts w:ascii="仿宋_GB2312" w:eastAsia="仿宋_GB2312"/>
                <w:color w:val="565656"/>
              </w:rPr>
            </w:pPr>
          </w:p>
        </w:tc>
        <w:tc>
          <w:tcPr>
            <w:tcW w:w="1425"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联系电话</w:t>
            </w:r>
          </w:p>
        </w:tc>
        <w:tc>
          <w:tcPr>
            <w:tcW w:w="2190" w:type="dxa"/>
          </w:tcPr>
          <w:p>
            <w:pPr>
              <w:pStyle w:val="4"/>
              <w:shd w:val="clear" w:color="auto" w:fill="FFFFFF"/>
              <w:spacing w:before="0" w:beforeAutospacing="0" w:after="0" w:afterAutospacing="0"/>
              <w:rPr>
                <w:rFonts w:ascii="仿宋_GB2312" w:eastAsia="仿宋_GB2312"/>
                <w:color w:val="565656"/>
              </w:rPr>
            </w:pPr>
          </w:p>
        </w:tc>
        <w:tc>
          <w:tcPr>
            <w:tcW w:w="2000" w:type="dxa"/>
            <w:vMerge w:val="continue"/>
          </w:tcPr>
          <w:p>
            <w:pPr>
              <w:pStyle w:val="4"/>
              <w:shd w:val="clear" w:color="auto" w:fill="FFFFFF"/>
              <w:spacing w:before="0" w:beforeAutospacing="0" w:after="0" w:afterAutospacing="0"/>
              <w:rPr>
                <w:rFonts w:ascii="仿宋_GB2312" w:eastAsia="仿宋_GB2312"/>
                <w:color w:val="56565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政治面貌</w:t>
            </w:r>
          </w:p>
        </w:tc>
        <w:tc>
          <w:tcPr>
            <w:tcW w:w="1621" w:type="dxa"/>
            <w:vAlign w:val="center"/>
          </w:tcPr>
          <w:p>
            <w:pPr>
              <w:pStyle w:val="4"/>
              <w:shd w:val="clear" w:color="auto" w:fill="FFFFFF"/>
              <w:spacing w:before="0" w:beforeAutospacing="0" w:after="0" w:afterAutospacing="0"/>
              <w:jc w:val="center"/>
              <w:rPr>
                <w:rFonts w:ascii="仿宋_GB2312" w:eastAsia="仿宋_GB2312"/>
                <w:color w:val="565656"/>
              </w:rPr>
            </w:pPr>
          </w:p>
        </w:tc>
        <w:tc>
          <w:tcPr>
            <w:tcW w:w="1425"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从事专业</w:t>
            </w:r>
          </w:p>
        </w:tc>
        <w:tc>
          <w:tcPr>
            <w:tcW w:w="2190" w:type="dxa"/>
          </w:tcPr>
          <w:p>
            <w:pPr>
              <w:pStyle w:val="4"/>
              <w:shd w:val="clear" w:color="auto" w:fill="FFFFFF"/>
              <w:spacing w:before="0" w:beforeAutospacing="0" w:after="0" w:afterAutospacing="0"/>
              <w:rPr>
                <w:rFonts w:ascii="仿宋_GB2312" w:eastAsia="仿宋_GB2312"/>
                <w:color w:val="565656"/>
              </w:rPr>
            </w:pPr>
          </w:p>
        </w:tc>
        <w:tc>
          <w:tcPr>
            <w:tcW w:w="2000" w:type="dxa"/>
            <w:vMerge w:val="continue"/>
          </w:tcPr>
          <w:p>
            <w:pPr>
              <w:pStyle w:val="4"/>
              <w:shd w:val="clear" w:color="auto" w:fill="FFFFFF"/>
              <w:spacing w:before="0" w:beforeAutospacing="0" w:after="0" w:afterAutospacing="0"/>
              <w:rPr>
                <w:rFonts w:ascii="仿宋_GB2312" w:eastAsia="仿宋_GB2312"/>
                <w:color w:val="56565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通讯地址</w:t>
            </w:r>
          </w:p>
        </w:tc>
        <w:tc>
          <w:tcPr>
            <w:tcW w:w="7236" w:type="dxa"/>
            <w:gridSpan w:val="4"/>
          </w:tcPr>
          <w:p>
            <w:pPr>
              <w:pStyle w:val="4"/>
              <w:shd w:val="clear" w:color="auto" w:fill="FFFFFF"/>
              <w:spacing w:before="0" w:beforeAutospacing="0" w:after="0" w:afterAutospacing="0"/>
              <w:rPr>
                <w:rFonts w:ascii="仿宋_GB2312" w:eastAsia="仿宋_GB2312"/>
                <w:color w:val="56565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工作单位</w:t>
            </w:r>
          </w:p>
        </w:tc>
        <w:tc>
          <w:tcPr>
            <w:tcW w:w="7236" w:type="dxa"/>
            <w:gridSpan w:val="4"/>
          </w:tcPr>
          <w:p>
            <w:pPr>
              <w:pStyle w:val="4"/>
              <w:shd w:val="clear" w:color="auto" w:fill="FFFFFF"/>
              <w:spacing w:before="0" w:beforeAutospacing="0" w:after="0" w:afterAutospacing="0"/>
              <w:rPr>
                <w:rFonts w:ascii="仿宋_GB2312" w:eastAsia="仿宋_GB2312"/>
                <w:color w:val="56565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个人</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简历</w:t>
            </w:r>
          </w:p>
        </w:tc>
        <w:tc>
          <w:tcPr>
            <w:tcW w:w="7236" w:type="dxa"/>
            <w:gridSpan w:val="4"/>
          </w:tcPr>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事迹简介</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（不超过</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500字）</w:t>
            </w:r>
          </w:p>
        </w:tc>
        <w:tc>
          <w:tcPr>
            <w:tcW w:w="7236" w:type="dxa"/>
            <w:gridSpan w:val="4"/>
          </w:tcPr>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本人承诺</w:t>
            </w:r>
          </w:p>
        </w:tc>
        <w:tc>
          <w:tcPr>
            <w:tcW w:w="7236" w:type="dxa"/>
            <w:gridSpan w:val="4"/>
          </w:tcPr>
          <w:p>
            <w:pPr>
              <w:pStyle w:val="4"/>
              <w:shd w:val="clear" w:color="auto" w:fill="FFFFFF"/>
              <w:spacing w:before="0" w:beforeAutospacing="0" w:after="0" w:afterAutospacing="0"/>
              <w:rPr>
                <w:rFonts w:hint="eastAsia" w:ascii="仿宋_GB2312" w:eastAsia="仿宋_GB2312"/>
                <w:color w:val="565656"/>
              </w:rPr>
            </w:pPr>
          </w:p>
          <w:p>
            <w:pPr>
              <w:pStyle w:val="4"/>
              <w:shd w:val="clear" w:color="auto" w:fill="FFFFFF"/>
              <w:spacing w:before="0" w:beforeAutospacing="0" w:after="0" w:afterAutospacing="0"/>
              <w:rPr>
                <w:rFonts w:hint="eastAsia" w:ascii="仿宋_GB2312" w:eastAsia="仿宋_GB2312"/>
                <w:color w:val="565656"/>
              </w:rPr>
            </w:pPr>
          </w:p>
          <w:p>
            <w:pPr>
              <w:pStyle w:val="4"/>
              <w:shd w:val="clear" w:color="auto" w:fill="FFFFFF"/>
              <w:spacing w:before="0" w:beforeAutospacing="0" w:after="0" w:afterAutospacing="0"/>
              <w:rPr>
                <w:rFonts w:hint="eastAsia" w:ascii="仿宋_GB2312" w:eastAsia="仿宋_GB2312"/>
                <w:color w:val="565656"/>
              </w:rPr>
            </w:pPr>
          </w:p>
          <w:p>
            <w:pPr>
              <w:pStyle w:val="4"/>
              <w:shd w:val="clear" w:color="auto" w:fill="FFFFFF"/>
              <w:spacing w:before="0" w:beforeAutospacing="0" w:after="0" w:afterAutospacing="0"/>
              <w:rPr>
                <w:rFonts w:hint="eastAsia"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r>
              <w:rPr>
                <w:rFonts w:hint="eastAsia" w:ascii="仿宋_GB2312" w:eastAsia="仿宋_GB2312"/>
                <w:color w:val="565656"/>
              </w:rPr>
              <w:t>本人所填内容真实客观，愿意承担相应的经济和法律责任。</w:t>
            </w:r>
          </w:p>
          <w:p>
            <w:pPr>
              <w:pStyle w:val="4"/>
              <w:shd w:val="clear" w:color="auto" w:fill="FFFFFF"/>
              <w:spacing w:before="0" w:beforeAutospacing="0" w:after="0" w:afterAutospacing="0"/>
              <w:jc w:val="center"/>
              <w:rPr>
                <w:rFonts w:ascii="仿宋_GB2312" w:eastAsia="仿宋_GB2312"/>
                <w:color w:val="565656"/>
              </w:rPr>
            </w:pPr>
          </w:p>
          <w:p>
            <w:pPr>
              <w:pStyle w:val="4"/>
              <w:shd w:val="clear" w:color="auto" w:fill="FFFFFF"/>
              <w:spacing w:before="0" w:beforeAutospacing="0" w:after="0" w:afterAutospacing="0"/>
              <w:jc w:val="center"/>
              <w:rPr>
                <w:rFonts w:ascii="仿宋_GB2312" w:eastAsia="仿宋_GB2312"/>
                <w:color w:val="565656"/>
              </w:rPr>
            </w:pP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本人签名：</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792" w:type="dxa"/>
            <w:vAlign w:val="center"/>
          </w:tcPr>
          <w:p>
            <w:pPr>
              <w:pStyle w:val="4"/>
              <w:shd w:val="clear" w:color="auto" w:fill="FFFFFF"/>
              <w:spacing w:before="0" w:beforeAutospacing="0" w:after="0" w:afterAutospacing="0"/>
              <w:jc w:val="center"/>
              <w:rPr>
                <w:rFonts w:hint="eastAsia" w:ascii="仿宋_GB2312" w:eastAsia="仿宋_GB2312"/>
                <w:color w:val="565656"/>
                <w:lang w:val="en-US" w:eastAsia="zh-CN"/>
              </w:rPr>
            </w:pPr>
            <w:r>
              <w:rPr>
                <w:rFonts w:hint="eastAsia" w:ascii="仿宋_GB2312" w:eastAsia="仿宋_GB2312"/>
                <w:color w:val="565656"/>
                <w:lang w:val="en-US" w:eastAsia="zh-CN"/>
              </w:rPr>
              <w:t>单位</w:t>
            </w:r>
          </w:p>
          <w:p>
            <w:pPr>
              <w:pStyle w:val="4"/>
              <w:shd w:val="clear" w:color="auto" w:fill="FFFFFF"/>
              <w:spacing w:before="0" w:beforeAutospacing="0" w:after="0" w:afterAutospacing="0"/>
              <w:jc w:val="center"/>
              <w:rPr>
                <w:rFonts w:hint="default" w:ascii="仿宋_GB2312" w:eastAsia="仿宋_GB2312"/>
                <w:color w:val="565656"/>
                <w:lang w:val="en-US" w:eastAsia="zh-CN"/>
              </w:rPr>
            </w:pPr>
            <w:r>
              <w:rPr>
                <w:rFonts w:hint="eastAsia" w:ascii="仿宋_GB2312" w:eastAsia="仿宋_GB2312"/>
                <w:color w:val="565656"/>
                <w:lang w:val="en-US" w:eastAsia="zh-CN"/>
              </w:rPr>
              <w:t>意见</w:t>
            </w:r>
          </w:p>
        </w:tc>
        <w:tc>
          <w:tcPr>
            <w:tcW w:w="7236" w:type="dxa"/>
            <w:gridSpan w:val="4"/>
          </w:tcPr>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（盖章）</w:t>
            </w:r>
          </w:p>
          <w:p>
            <w:pPr>
              <w:pStyle w:val="4"/>
              <w:shd w:val="clear" w:color="auto" w:fill="FFFFFF"/>
              <w:spacing w:before="0" w:beforeAutospacing="0" w:after="0" w:afterAutospacing="0"/>
              <w:jc w:val="center"/>
              <w:rPr>
                <w:rFonts w:hint="eastAsia" w:ascii="仿宋_GB2312" w:eastAsia="仿宋_GB2312"/>
                <w:color w:val="565656"/>
              </w:rPr>
            </w:pPr>
            <w:r>
              <w:rPr>
                <w:rFonts w:hint="eastAsia" w:ascii="仿宋_GB2312" w:eastAsia="仿宋_GB2312"/>
                <w:color w:val="56565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trPr>
        <w:tc>
          <w:tcPr>
            <w:tcW w:w="1792" w:type="dxa"/>
            <w:vAlign w:val="center"/>
          </w:tcPr>
          <w:p>
            <w:pPr>
              <w:pStyle w:val="4"/>
              <w:shd w:val="clear" w:color="auto" w:fill="FFFFFF"/>
              <w:spacing w:before="0" w:beforeAutospacing="0" w:after="0" w:afterAutospacing="0"/>
              <w:jc w:val="center"/>
              <w:rPr>
                <w:rFonts w:hint="eastAsia" w:ascii="仿宋_GB2312" w:eastAsia="仿宋_GB2312"/>
                <w:color w:val="565656"/>
              </w:rPr>
            </w:pPr>
            <w:r>
              <w:rPr>
                <w:rFonts w:hint="eastAsia" w:ascii="仿宋_GB2312" w:eastAsia="仿宋_GB2312"/>
                <w:color w:val="565656"/>
              </w:rPr>
              <w:t>县级</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林业</w:t>
            </w:r>
          </w:p>
          <w:p>
            <w:pPr>
              <w:pStyle w:val="4"/>
              <w:shd w:val="clear" w:color="auto" w:fill="FFFFFF"/>
              <w:spacing w:before="0" w:beforeAutospacing="0" w:after="0" w:afterAutospacing="0"/>
              <w:jc w:val="center"/>
              <w:rPr>
                <w:rFonts w:hint="eastAsia" w:ascii="仿宋_GB2312" w:eastAsia="仿宋_GB2312"/>
                <w:color w:val="565656"/>
              </w:rPr>
            </w:pPr>
            <w:r>
              <w:rPr>
                <w:rFonts w:hint="eastAsia" w:ascii="仿宋_GB2312" w:eastAsia="仿宋_GB2312"/>
                <w:color w:val="565656"/>
              </w:rPr>
              <w:t>主管</w:t>
            </w:r>
          </w:p>
          <w:p>
            <w:pPr>
              <w:pStyle w:val="4"/>
              <w:shd w:val="clear" w:color="auto" w:fill="FFFFFF"/>
              <w:spacing w:before="0" w:beforeAutospacing="0" w:after="0" w:afterAutospacing="0"/>
              <w:jc w:val="center"/>
              <w:rPr>
                <w:rFonts w:hint="eastAsia" w:ascii="仿宋_GB2312" w:eastAsia="仿宋_GB2312"/>
                <w:color w:val="565656"/>
              </w:rPr>
            </w:pPr>
            <w:r>
              <w:rPr>
                <w:rFonts w:hint="eastAsia" w:ascii="仿宋_GB2312" w:eastAsia="仿宋_GB2312"/>
                <w:color w:val="565656"/>
              </w:rPr>
              <w:t>部门</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意见</w:t>
            </w:r>
          </w:p>
        </w:tc>
        <w:tc>
          <w:tcPr>
            <w:tcW w:w="7236" w:type="dxa"/>
            <w:gridSpan w:val="4"/>
          </w:tcPr>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（盖章）</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792" w:type="dxa"/>
            <w:vAlign w:val="center"/>
          </w:tcPr>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市（区）</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林业</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主管</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部门</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意见</w:t>
            </w:r>
          </w:p>
        </w:tc>
        <w:tc>
          <w:tcPr>
            <w:tcW w:w="7236" w:type="dxa"/>
            <w:gridSpan w:val="4"/>
          </w:tcPr>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rPr>
                <w:rFonts w:ascii="仿宋_GB2312" w:eastAsia="仿宋_GB2312"/>
                <w:color w:val="565656"/>
              </w:rPr>
            </w:pP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（盖章）</w:t>
            </w:r>
          </w:p>
          <w:p>
            <w:pPr>
              <w:pStyle w:val="4"/>
              <w:shd w:val="clear" w:color="auto" w:fill="FFFFFF"/>
              <w:spacing w:before="0" w:beforeAutospacing="0" w:after="0" w:afterAutospacing="0"/>
              <w:jc w:val="center"/>
              <w:rPr>
                <w:rFonts w:ascii="仿宋_GB2312" w:eastAsia="仿宋_GB2312"/>
                <w:color w:val="565656"/>
              </w:rPr>
            </w:pPr>
            <w:r>
              <w:rPr>
                <w:rFonts w:hint="eastAsia" w:ascii="仿宋_GB2312" w:eastAsia="仿宋_GB2312"/>
                <w:color w:val="565656"/>
              </w:rPr>
              <w:t>年   月   日</w:t>
            </w:r>
          </w:p>
        </w:tc>
      </w:tr>
    </w:tbl>
    <w:p>
      <w:r>
        <w:rPr>
          <w:rFonts w:hint="eastAsia"/>
          <w:sz w:val="24"/>
          <w:szCs w:val="24"/>
          <w:lang w:val="en-US" w:eastAsia="zh-CN"/>
        </w:rPr>
        <w:t>注：局直属单位、涉林高校、省级科研院所填写“单位意见”。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DQ3YmY5ZWJiZjAzM2I5NDRkMzU3YjE4MTNkZTYifQ=="/>
  </w:docVars>
  <w:rsids>
    <w:rsidRoot w:val="744F71AB"/>
    <w:rsid w:val="0936790B"/>
    <w:rsid w:val="0B026B9E"/>
    <w:rsid w:val="1C99171B"/>
    <w:rsid w:val="276A170F"/>
    <w:rsid w:val="2D354C43"/>
    <w:rsid w:val="67617006"/>
    <w:rsid w:val="71182FBA"/>
    <w:rsid w:val="744F71AB"/>
    <w:rsid w:val="74AC43BB"/>
    <w:rsid w:val="7830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723" w:firstLineChars="200"/>
    </w:pPr>
    <w:rPr>
      <w:rFonts w:eastAsia="方正仿宋_GBK"/>
      <w:sz w:val="30"/>
    </w:rPr>
  </w:style>
  <w:style w:type="paragraph" w:styleId="3">
    <w:name w:val="Body Text First Indent"/>
    <w:basedOn w:val="2"/>
    <w:next w:val="2"/>
    <w:qFormat/>
    <w:uiPriority w:val="0"/>
    <w:pPr>
      <w:ind w:firstLine="72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article_title"/>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2023-04-14T02:21:00Z</dcterms:created>
  <dc:creator>风的翅膀</dc:creator>
  <cp:lastModifiedBy>风的翅膀</cp:lastModifiedBy>
  <dcterms:modified xsi:type="dcterms:W3CDTF">2023-04-14T02:22:13Z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74934884243F419D95AEC3C4B2D89867_11</vt:lpwstr>
  </property>
</Properties>
</file>